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文件编号：BJ-WYGS-PZ-001                                                       版本：2016版</w:t>
      </w:r>
    </w:p>
    <w:p>
      <w:pPr>
        <w:spacing w:line="580" w:lineRule="exact"/>
        <w:jc w:val="center"/>
        <w:rPr>
          <w:rFonts w:ascii="Times New Roman" w:hAnsi="Times New Roman" w:eastAsia="小标宋" w:cs="Times New Roman"/>
          <w:sz w:val="44"/>
          <w:szCs w:val="44"/>
        </w:rPr>
      </w:pPr>
    </w:p>
    <w:p>
      <w:pPr>
        <w:spacing w:line="580" w:lineRule="exact"/>
        <w:jc w:val="center"/>
        <w:rPr>
          <w:rFonts w:ascii="Times New Roman" w:hAnsi="Times New Roman" w:eastAsia="小标宋" w:cs="Times New Roman"/>
          <w:sz w:val="44"/>
          <w:szCs w:val="44"/>
        </w:rPr>
      </w:pPr>
      <w:r>
        <w:rPr>
          <w:rFonts w:hint="eastAsia" w:ascii="Times New Roman" w:hAnsi="Times New Roman" w:eastAsia="小标宋" w:cs="Times New Roman"/>
          <w:sz w:val="44"/>
          <w:szCs w:val="44"/>
        </w:rPr>
        <w:t>中铁建（北京）物业管理有限公司</w:t>
      </w:r>
    </w:p>
    <w:p>
      <w:pPr>
        <w:spacing w:line="580" w:lineRule="exact"/>
        <w:jc w:val="center"/>
        <w:rPr>
          <w:rFonts w:ascii="Times New Roman" w:hAnsi="Times New Roman" w:eastAsia="小标宋" w:cs="Times New Roman"/>
          <w:sz w:val="44"/>
          <w:szCs w:val="44"/>
        </w:rPr>
      </w:pPr>
      <w:r>
        <w:rPr>
          <w:rFonts w:hint="eastAsia" w:ascii="Times New Roman" w:hAnsi="Times New Roman" w:eastAsia="小标宋" w:cs="Times New Roman"/>
          <w:sz w:val="44"/>
          <w:szCs w:val="44"/>
        </w:rPr>
        <w:t>社区文化管理规定</w:t>
      </w:r>
    </w:p>
    <w:p>
      <w:pPr>
        <w:spacing w:line="58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文件更新履历表</w:t>
      </w:r>
    </w:p>
    <w:tbl>
      <w:tblPr>
        <w:tblStyle w:val="8"/>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701"/>
        <w:gridCol w:w="1559"/>
        <w:gridCol w:w="1418"/>
        <w:gridCol w:w="1417"/>
        <w:gridCol w:w="993"/>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spacing w:line="58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版本</w:t>
            </w:r>
          </w:p>
        </w:tc>
        <w:tc>
          <w:tcPr>
            <w:tcW w:w="1701" w:type="dxa"/>
          </w:tcPr>
          <w:p>
            <w:pPr>
              <w:spacing w:line="58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文件名称</w:t>
            </w:r>
          </w:p>
        </w:tc>
        <w:tc>
          <w:tcPr>
            <w:tcW w:w="1559" w:type="dxa"/>
          </w:tcPr>
          <w:p>
            <w:pPr>
              <w:spacing w:line="58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文件编号</w:t>
            </w:r>
          </w:p>
        </w:tc>
        <w:tc>
          <w:tcPr>
            <w:tcW w:w="1418" w:type="dxa"/>
          </w:tcPr>
          <w:p>
            <w:pPr>
              <w:spacing w:line="58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管理归属部门</w:t>
            </w:r>
          </w:p>
        </w:tc>
        <w:tc>
          <w:tcPr>
            <w:tcW w:w="1417" w:type="dxa"/>
          </w:tcPr>
          <w:p>
            <w:pPr>
              <w:spacing w:line="58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文件管理岗位</w:t>
            </w:r>
          </w:p>
        </w:tc>
        <w:tc>
          <w:tcPr>
            <w:tcW w:w="993" w:type="dxa"/>
          </w:tcPr>
          <w:p>
            <w:pPr>
              <w:spacing w:line="58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生效日期</w:t>
            </w:r>
          </w:p>
        </w:tc>
        <w:tc>
          <w:tcPr>
            <w:tcW w:w="850" w:type="dxa"/>
          </w:tcPr>
          <w:p>
            <w:pPr>
              <w:spacing w:line="58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spacing w:line="58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2016版</w:t>
            </w:r>
          </w:p>
        </w:tc>
        <w:tc>
          <w:tcPr>
            <w:tcW w:w="1701" w:type="dxa"/>
          </w:tcPr>
          <w:p>
            <w:pPr>
              <w:spacing w:line="580" w:lineRule="exact"/>
              <w:rPr>
                <w:rFonts w:asciiTheme="minorEastAsia" w:hAnsiTheme="minorEastAsia" w:cstheme="minorEastAsia"/>
                <w:sz w:val="18"/>
                <w:szCs w:val="18"/>
              </w:rPr>
            </w:pPr>
            <w:r>
              <w:rPr>
                <w:rFonts w:hint="eastAsia" w:asciiTheme="minorEastAsia" w:hAnsiTheme="minorEastAsia" w:cstheme="minorEastAsia"/>
                <w:sz w:val="18"/>
                <w:szCs w:val="18"/>
              </w:rPr>
              <w:t>社区文化管理规定</w:t>
            </w:r>
          </w:p>
        </w:tc>
        <w:tc>
          <w:tcPr>
            <w:tcW w:w="1559" w:type="dxa"/>
          </w:tcPr>
          <w:p>
            <w:pPr>
              <w:spacing w:line="580" w:lineRule="exact"/>
              <w:jc w:val="center"/>
              <w:rPr>
                <w:rFonts w:asciiTheme="minorEastAsia" w:hAnsiTheme="minorEastAsia" w:cstheme="minorEastAsia"/>
                <w:sz w:val="18"/>
                <w:szCs w:val="18"/>
              </w:rPr>
            </w:pPr>
            <w:r>
              <w:rPr>
                <w:rFonts w:hint="eastAsia" w:asciiTheme="majorEastAsia" w:hAnsiTheme="majorEastAsia" w:eastAsiaTheme="majorEastAsia" w:cstheme="majorEastAsia"/>
                <w:sz w:val="18"/>
                <w:szCs w:val="18"/>
              </w:rPr>
              <w:t xml:space="preserve">BJ-WYGS-PZ-001     </w:t>
            </w:r>
          </w:p>
        </w:tc>
        <w:tc>
          <w:tcPr>
            <w:tcW w:w="1418" w:type="dxa"/>
          </w:tcPr>
          <w:p>
            <w:pPr>
              <w:spacing w:line="58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品质管理部</w:t>
            </w:r>
          </w:p>
        </w:tc>
        <w:tc>
          <w:tcPr>
            <w:tcW w:w="1417" w:type="dxa"/>
          </w:tcPr>
          <w:p>
            <w:pPr>
              <w:spacing w:line="58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品质管理岗</w:t>
            </w:r>
          </w:p>
        </w:tc>
        <w:tc>
          <w:tcPr>
            <w:tcW w:w="993" w:type="dxa"/>
          </w:tcPr>
          <w:p>
            <w:pPr>
              <w:spacing w:line="58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2016.</w:t>
            </w:r>
            <w:r>
              <w:rPr>
                <w:rFonts w:hint="eastAsia" w:asciiTheme="minorEastAsia" w:hAnsiTheme="minorEastAsia" w:cstheme="minorEastAsia"/>
                <w:sz w:val="18"/>
                <w:szCs w:val="18"/>
                <w:lang w:val="en-US" w:eastAsia="zh-CN"/>
              </w:rPr>
              <w:t>8</w:t>
            </w:r>
          </w:p>
        </w:tc>
        <w:tc>
          <w:tcPr>
            <w:tcW w:w="850" w:type="dxa"/>
          </w:tcPr>
          <w:p>
            <w:pPr>
              <w:spacing w:line="580" w:lineRule="exact"/>
              <w:jc w:val="center"/>
              <w:rPr>
                <w:rFonts w:asciiTheme="minorEastAsia" w:hAnsiTheme="minorEastAsia" w:cs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spacing w:line="580" w:lineRule="exact"/>
              <w:jc w:val="center"/>
              <w:rPr>
                <w:rFonts w:asciiTheme="minorEastAsia" w:hAnsiTheme="minorEastAsia" w:cstheme="minorEastAsia"/>
                <w:sz w:val="18"/>
                <w:szCs w:val="18"/>
              </w:rPr>
            </w:pPr>
          </w:p>
        </w:tc>
        <w:tc>
          <w:tcPr>
            <w:tcW w:w="1701" w:type="dxa"/>
          </w:tcPr>
          <w:p>
            <w:pPr>
              <w:spacing w:line="580" w:lineRule="exact"/>
              <w:jc w:val="center"/>
              <w:rPr>
                <w:rFonts w:asciiTheme="minorEastAsia" w:hAnsiTheme="minorEastAsia" w:cstheme="minorEastAsia"/>
                <w:sz w:val="18"/>
                <w:szCs w:val="18"/>
              </w:rPr>
            </w:pPr>
          </w:p>
        </w:tc>
        <w:tc>
          <w:tcPr>
            <w:tcW w:w="1559" w:type="dxa"/>
          </w:tcPr>
          <w:p>
            <w:pPr>
              <w:spacing w:line="580" w:lineRule="exact"/>
              <w:jc w:val="center"/>
              <w:rPr>
                <w:rFonts w:asciiTheme="minorEastAsia" w:hAnsiTheme="minorEastAsia" w:cstheme="minorEastAsia"/>
                <w:sz w:val="18"/>
                <w:szCs w:val="18"/>
              </w:rPr>
            </w:pPr>
          </w:p>
        </w:tc>
        <w:tc>
          <w:tcPr>
            <w:tcW w:w="1418" w:type="dxa"/>
          </w:tcPr>
          <w:p>
            <w:pPr>
              <w:spacing w:line="580" w:lineRule="exact"/>
              <w:jc w:val="center"/>
              <w:rPr>
                <w:rFonts w:asciiTheme="minorEastAsia" w:hAnsiTheme="minorEastAsia" w:cstheme="minorEastAsia"/>
                <w:sz w:val="18"/>
                <w:szCs w:val="18"/>
              </w:rPr>
            </w:pPr>
          </w:p>
        </w:tc>
        <w:tc>
          <w:tcPr>
            <w:tcW w:w="1417" w:type="dxa"/>
          </w:tcPr>
          <w:p>
            <w:pPr>
              <w:spacing w:line="580" w:lineRule="exact"/>
              <w:jc w:val="center"/>
              <w:rPr>
                <w:rFonts w:asciiTheme="minorEastAsia" w:hAnsiTheme="minorEastAsia" w:cstheme="minorEastAsia"/>
                <w:sz w:val="18"/>
                <w:szCs w:val="18"/>
              </w:rPr>
            </w:pPr>
          </w:p>
        </w:tc>
        <w:tc>
          <w:tcPr>
            <w:tcW w:w="993" w:type="dxa"/>
          </w:tcPr>
          <w:p>
            <w:pPr>
              <w:spacing w:line="580" w:lineRule="exact"/>
              <w:jc w:val="center"/>
              <w:rPr>
                <w:rFonts w:asciiTheme="minorEastAsia" w:hAnsiTheme="minorEastAsia" w:cstheme="minorEastAsia"/>
                <w:sz w:val="18"/>
                <w:szCs w:val="18"/>
              </w:rPr>
            </w:pPr>
          </w:p>
        </w:tc>
        <w:tc>
          <w:tcPr>
            <w:tcW w:w="850" w:type="dxa"/>
          </w:tcPr>
          <w:p>
            <w:pPr>
              <w:spacing w:line="580" w:lineRule="exact"/>
              <w:jc w:val="center"/>
              <w:rPr>
                <w:rFonts w:asciiTheme="minorEastAsia" w:hAnsiTheme="minorEastAsia" w:cstheme="minorEastAsia"/>
                <w:sz w:val="18"/>
                <w:szCs w:val="18"/>
              </w:rPr>
            </w:pPr>
          </w:p>
        </w:tc>
      </w:tr>
    </w:tbl>
    <w:p>
      <w:pPr>
        <w:pStyle w:val="9"/>
        <w:spacing w:line="360" w:lineRule="auto"/>
        <w:ind w:firstLine="0" w:firstLineChars="0"/>
        <w:rPr>
          <w:rFonts w:ascii="黑体" w:eastAsia="黑体" w:hAnsiTheme="minorEastAsia"/>
          <w:sz w:val="32"/>
          <w:szCs w:val="32"/>
        </w:rPr>
      </w:pPr>
    </w:p>
    <w:p>
      <w:pPr>
        <w:pStyle w:val="9"/>
        <w:numPr>
          <w:ilvl w:val="0"/>
          <w:numId w:val="1"/>
        </w:numPr>
        <w:spacing w:line="360" w:lineRule="auto"/>
        <w:ind w:left="0" w:firstLine="0" w:firstLineChars="0"/>
        <w:jc w:val="center"/>
        <w:rPr>
          <w:rFonts w:ascii="黑体" w:eastAsia="黑体" w:hAnsiTheme="minorEastAsia"/>
          <w:sz w:val="32"/>
          <w:szCs w:val="32"/>
        </w:rPr>
      </w:pPr>
      <w:r>
        <w:rPr>
          <w:rFonts w:hint="eastAsia" w:ascii="黑体" w:eastAsia="黑体" w:hAnsiTheme="minorEastAsia"/>
          <w:sz w:val="32"/>
          <w:szCs w:val="32"/>
        </w:rPr>
        <w:t>总  则</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为规范中铁建（北京）物业管理有限公司（以下简称“物业公司”）的社区文化管理要求，明确社区文化规范及流程，全面提升物业公司整体品牌影响，结合物业公司实际，制定本规定。</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本规定适用于物业公司及所属各单位所有品质管控项目。所属各单位指物业公司各分公司和项目部。</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本规定所称社区文化管理工作，包括社区文化活动组织、园区布置、节日氛围装饰、业主艺术团等工作。</w:t>
      </w:r>
    </w:p>
    <w:p>
      <w:pPr>
        <w:pStyle w:val="5"/>
        <w:widowControl/>
        <w:spacing w:beforeAutospacing="0" w:afterAutospacing="0"/>
        <w:ind w:left="600"/>
        <w:rPr>
          <w:rFonts w:asciiTheme="minorEastAsia" w:hAnsiTheme="minorEastAsia" w:cstheme="minorEastAsia"/>
          <w:color w:val="000000" w:themeColor="text1"/>
          <w:sz w:val="30"/>
          <w:szCs w:val="30"/>
        </w:rPr>
      </w:pPr>
    </w:p>
    <w:p>
      <w:pPr>
        <w:pStyle w:val="9"/>
        <w:numPr>
          <w:ilvl w:val="0"/>
          <w:numId w:val="1"/>
        </w:numPr>
        <w:spacing w:line="360" w:lineRule="auto"/>
        <w:ind w:firstLineChars="0"/>
        <w:jc w:val="center"/>
        <w:rPr>
          <w:rFonts w:ascii="黑体" w:eastAsia="黑体" w:hAnsiTheme="minorEastAsia"/>
          <w:sz w:val="32"/>
          <w:szCs w:val="32"/>
        </w:rPr>
      </w:pPr>
      <w:r>
        <w:rPr>
          <w:rFonts w:hint="eastAsia" w:ascii="黑体" w:eastAsia="黑体" w:hAnsiTheme="minorEastAsia"/>
          <w:sz w:val="32"/>
          <w:szCs w:val="32"/>
        </w:rPr>
        <w:t>社区文化管理的建设</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总部品质管理部职责：</w:t>
      </w:r>
      <w:r>
        <w:rPr>
          <w:rFonts w:hint="eastAsia" w:asciiTheme="minorEastAsia" w:hAnsiTheme="minorEastAsia" w:cstheme="minorEastAsia"/>
          <w:color w:val="000000" w:themeColor="text1"/>
          <w:sz w:val="30"/>
          <w:szCs w:val="30"/>
          <w:lang w:eastAsia="zh-CN"/>
        </w:rPr>
        <w:t>负责</w:t>
      </w:r>
      <w:bookmarkStart w:id="0" w:name="_GoBack"/>
      <w:bookmarkEnd w:id="0"/>
      <w:r>
        <w:rPr>
          <w:rFonts w:hint="eastAsia" w:asciiTheme="minorEastAsia" w:hAnsiTheme="minorEastAsia" w:cstheme="minorEastAsia"/>
          <w:color w:val="000000" w:themeColor="text1"/>
          <w:sz w:val="30"/>
          <w:szCs w:val="30"/>
        </w:rPr>
        <w:t>年度社区文化活动指标的下发与说明；负责主题型或大型社区文化活动（一级社区活动）开展的牵头组织；负责社区文化活动计划及监控指标的汇集与发布；负责社区文化活动考核的组织实施与汇报。负责年度社区文化活动执行情况的监督检查。</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分公司：负责分公司社区文化活动的组织实施；负责分公司社区文化活动执行监控；负责社区文化活动的内部考核及满意度控制。</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项目负责项目社区文化活动的策划实施开展；负责项目社区文化活动的品质控制。</w:t>
      </w:r>
    </w:p>
    <w:p>
      <w:pPr>
        <w:pStyle w:val="9"/>
        <w:spacing w:line="360" w:lineRule="auto"/>
        <w:ind w:firstLineChars="0"/>
        <w:rPr>
          <w:rFonts w:ascii="仿宋_GB2312" w:eastAsia="仿宋_GB2312" w:hAnsiTheme="minorEastAsia"/>
          <w:color w:val="000000" w:themeColor="text1"/>
          <w:sz w:val="32"/>
          <w:szCs w:val="32"/>
        </w:rPr>
      </w:pPr>
    </w:p>
    <w:p>
      <w:pPr>
        <w:pStyle w:val="9"/>
        <w:numPr>
          <w:ilvl w:val="0"/>
          <w:numId w:val="1"/>
        </w:numPr>
        <w:spacing w:line="360" w:lineRule="auto"/>
        <w:ind w:left="0" w:firstLine="0" w:firstLineChars="0"/>
        <w:jc w:val="center"/>
        <w:rPr>
          <w:rFonts w:ascii="黑体" w:eastAsia="黑体" w:hAnsiTheme="minorEastAsia"/>
          <w:color w:val="000000" w:themeColor="text1"/>
          <w:sz w:val="32"/>
          <w:szCs w:val="32"/>
        </w:rPr>
      </w:pPr>
      <w:r>
        <w:rPr>
          <w:rFonts w:hint="eastAsia" w:ascii="黑体" w:eastAsia="黑体" w:hAnsiTheme="minorEastAsia"/>
          <w:color w:val="000000" w:themeColor="text1"/>
          <w:sz w:val="32"/>
          <w:szCs w:val="32"/>
        </w:rPr>
        <w:t>实施过程与方法</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社区文化活动实施分级管控，共分为三级。一级活动由总部品质管理部负责；二级活动由分公司品质管理部负责；三级活动由项目负责。</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一级社区活动（总部级）：由总部每年统一策划具有品牌影响力的大型活动。如“中铁建物业艺术团”、“中秋晚会”等活动。</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艺术团资产保管：艺术团固定资产购买相关费用从社区活动费列支；由直管团长负责保管义务。</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二级社区活动（两个以上项目的分公司）：由分公司每年统一策划3-4项在当地较有社会影响力和业主感兴趣的活动，包括体检进社区活动、电影放映活动、重大传统节日活动等。</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三级社区活动（单项目的分公司或项目）：三级社区活动为常态化社区活动，由项目制定年计划，保证每月至少一次。如跳蚤市场，便民服务活动，大小节日活动等。</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一级社区活动开展前应举行工作协调会，以总部品质部牵头相关部门联动或配合，并与活动参与的分公司负责人开展责任分工和部署召开会议。</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将社区活动与品牌宣传、经营结合，开展社区活动的同时，整合商家资源，扩大品牌影响力。</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活动开始前、中、后，通过社区常规媒体及公司级微信进行宣传；</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积极开拓本地、外部媒体资源，加强活动的宣传力度；</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各项目开拓的赞助商家应及时反馈给经营管理部门，经营管理部门将相应的商家资源定期共享给各项目；</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经营管理部门负责统筹联系参与社区活动的商家，各项目社区活动联系合作的商家应向经营管理部门报备。</w:t>
      </w:r>
    </w:p>
    <w:p>
      <w:pPr>
        <w:pStyle w:val="5"/>
        <w:widowControl/>
        <w:numPr>
          <w:ilvl w:val="0"/>
          <w:numId w:val="2"/>
        </w:numPr>
        <w:spacing w:beforeAutospacing="0" w:afterAutospacing="0"/>
        <w:ind w:firstLine="600" w:firstLineChars="200"/>
        <w:rPr>
          <w:rFonts w:hint="eastAsia"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社区文化活动一级方案需报总部品质分管领导审核，二级方案报总部品质部审核，三级方案报项目和分公司领导审核后方可下发执行。</w:t>
      </w:r>
    </w:p>
    <w:p>
      <w:pPr>
        <w:pStyle w:val="5"/>
        <w:widowControl/>
        <w:spacing w:beforeAutospacing="0" w:afterAutospacing="0"/>
        <w:ind w:left="600"/>
        <w:rPr>
          <w:rFonts w:hint="eastAsia" w:asciiTheme="minorEastAsia" w:hAnsiTheme="minorEastAsia" w:cstheme="minorEastAsia"/>
          <w:color w:val="000000" w:themeColor="text1"/>
          <w:sz w:val="30"/>
          <w:szCs w:val="30"/>
        </w:rPr>
      </w:pPr>
    </w:p>
    <w:p>
      <w:pPr>
        <w:pStyle w:val="5"/>
        <w:widowControl/>
        <w:spacing w:beforeAutospacing="0" w:afterAutospacing="0"/>
        <w:ind w:left="600"/>
        <w:rPr>
          <w:rFonts w:hint="eastAsia" w:asciiTheme="minorEastAsia" w:hAnsiTheme="minorEastAsia" w:cstheme="minorEastAsia"/>
          <w:color w:val="000000" w:themeColor="text1"/>
          <w:sz w:val="30"/>
          <w:szCs w:val="30"/>
        </w:rPr>
      </w:pPr>
    </w:p>
    <w:p>
      <w:pPr>
        <w:pStyle w:val="5"/>
        <w:widowControl/>
        <w:spacing w:beforeAutospacing="0" w:afterAutospacing="0"/>
        <w:ind w:left="600"/>
        <w:rPr>
          <w:rFonts w:asciiTheme="minorEastAsia" w:hAnsiTheme="minorEastAsia" w:cstheme="minorEastAsia"/>
          <w:color w:val="000000" w:themeColor="text1"/>
          <w:sz w:val="30"/>
          <w:szCs w:val="30"/>
        </w:rPr>
      </w:pPr>
    </w:p>
    <w:tbl>
      <w:tblPr>
        <w:tblStyle w:val="11"/>
        <w:tblW w:w="8363"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8363" w:type="dxa"/>
          </w:tcPr>
          <w:p>
            <w:pPr>
              <w:spacing w:beforeLines="50" w:line="360" w:lineRule="auto"/>
              <w:jc w:val="center"/>
              <w:rPr>
                <w:rFonts w:eastAsia="宋体" w:asciiTheme="minorEastAsia" w:hAnsiTheme="minorEastAsia" w:cstheme="minorEastAsia"/>
                <w:kern w:val="0"/>
                <w:sz w:val="24"/>
                <w:szCs w:val="24"/>
              </w:rPr>
            </w:pPr>
            <w:r>
              <w:rPr>
                <w:rFonts w:hint="eastAsia" w:eastAsia="宋体" w:asciiTheme="minorEastAsia" w:hAnsiTheme="minorEastAsia" w:cstheme="minorEastAsia"/>
                <w:kern w:val="0"/>
                <w:sz w:val="24"/>
                <w:szCs w:val="24"/>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trPr>
        <w:tc>
          <w:tcPr>
            <w:tcW w:w="8363" w:type="dxa"/>
          </w:tcPr>
          <w:p>
            <w:pPr>
              <w:spacing w:beforeLines="50" w:line="348" w:lineRule="auto"/>
              <w:rPr>
                <w:rFonts w:eastAsia="宋体" w:asciiTheme="minorEastAsia" w:hAnsiTheme="minorEastAsia" w:cstheme="minorEastAsia"/>
                <w:kern w:val="0"/>
                <w:sz w:val="24"/>
                <w:szCs w:val="24"/>
              </w:rPr>
            </w:pPr>
            <w:r>
              <w:rPr>
                <w:rFonts w:hint="eastAsia" w:eastAsia="宋体" w:asciiTheme="minorEastAsia" w:hAnsiTheme="minorEastAsia" w:cstheme="minorEastAsia"/>
                <w:kern w:val="0"/>
                <w:sz w:val="24"/>
                <w:szCs w:val="24"/>
              </w:rPr>
              <w:t>一级活动提前三至四个月启动筹备工作，成立活动小组，活动组织完成后，将活动总结（包括现场效果照片、业主反馈资料、活动费用、活动不足之处规避及建议）报品质分管领导审核。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9" w:hRule="atLeast"/>
        </w:trPr>
        <w:tc>
          <w:tcPr>
            <w:tcW w:w="8363" w:type="dxa"/>
          </w:tcPr>
          <w:p>
            <w:pPr>
              <w:spacing w:beforeLines="50" w:line="348" w:lineRule="auto"/>
              <w:rPr>
                <w:rFonts w:eastAsia="宋体" w:asciiTheme="minorEastAsia" w:hAnsiTheme="minorEastAsia" w:cstheme="minorEastAsia"/>
                <w:kern w:val="0"/>
                <w:sz w:val="24"/>
                <w:szCs w:val="24"/>
              </w:rPr>
            </w:pPr>
            <w:r>
              <w:rPr>
                <w:rFonts w:hint="eastAsia" w:eastAsia="宋体" w:asciiTheme="minorEastAsia" w:hAnsiTheme="minorEastAsia" w:cstheme="minorEastAsia"/>
                <w:kern w:val="0"/>
                <w:sz w:val="24"/>
                <w:szCs w:val="24"/>
              </w:rPr>
              <w:t>二级活动提前两个月启动筹备工作，将活动方案报总部品质部审核，将活动总结（包括现场效果照片、业主反馈资料、活动费用、活动不足之处规避及建议）报总公司品质部。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8" w:hRule="atLeast"/>
        </w:trPr>
        <w:tc>
          <w:tcPr>
            <w:tcW w:w="8363" w:type="dxa"/>
          </w:tcPr>
          <w:p>
            <w:pPr>
              <w:spacing w:beforeLines="50" w:line="348" w:lineRule="auto"/>
              <w:rPr>
                <w:rFonts w:eastAsia="宋体" w:asciiTheme="minorEastAsia" w:hAnsiTheme="minorEastAsia" w:cstheme="minorEastAsia"/>
                <w:kern w:val="0"/>
                <w:sz w:val="24"/>
                <w:szCs w:val="24"/>
              </w:rPr>
            </w:pPr>
            <w:r>
              <w:rPr>
                <w:rFonts w:hint="eastAsia" w:eastAsia="宋体" w:asciiTheme="minorEastAsia" w:hAnsiTheme="minorEastAsia" w:cstheme="minorEastAsia"/>
                <w:kern w:val="0"/>
                <w:sz w:val="24"/>
                <w:szCs w:val="24"/>
              </w:rPr>
              <w:t>三级活动提前20天启动筹备工作，将筹备工作报分公司或项目领导审核，将活动总结（包括现场效果照片、业主反馈资料、活动费用、活动不足之处规避及建议）报分公司。</w:t>
            </w:r>
          </w:p>
        </w:tc>
      </w:tr>
    </w:tbl>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各分公司及项目按方案落实执行，有疑问及时与品质管理部协商；同时，在方案执行过程中，品质管理部对各项目的执行情况实行抽查，并对抽查予以评价和记录。</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各分公司在活动结束后应及时撰写活动总结，按时、按要求提交《活动反馈表》到品质管理部。项目活动反馈报分公司品质部。</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一级活动由总公司品质部进行新闻宣传，二级活动由分公司品质部进行新闻宣传，三级活动由项目进行新闻宣传。</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品质管理部对一级活动、二级活动反馈资料、新闻宣传资料进行存档。</w:t>
      </w:r>
    </w:p>
    <w:p>
      <w:pPr>
        <w:pStyle w:val="9"/>
        <w:numPr>
          <w:ilvl w:val="0"/>
          <w:numId w:val="1"/>
        </w:numPr>
        <w:spacing w:line="360" w:lineRule="auto"/>
        <w:ind w:left="0" w:firstLine="0" w:firstLineChars="0"/>
        <w:jc w:val="center"/>
        <w:rPr>
          <w:rFonts w:ascii="黑体" w:eastAsia="黑体" w:hAnsiTheme="minorEastAsia"/>
          <w:sz w:val="32"/>
          <w:szCs w:val="32"/>
        </w:rPr>
      </w:pPr>
      <w:r>
        <w:rPr>
          <w:rFonts w:hint="eastAsia" w:ascii="黑体" w:eastAsia="黑体" w:hAnsiTheme="minorEastAsia"/>
          <w:sz w:val="32"/>
          <w:szCs w:val="32"/>
        </w:rPr>
        <w:t>社区文化经费管理</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总部品质部负责监管各项目社区文化活动预算的执行情况与使用情况，在品质检查过程中对社区文化活动费用的使用审核监督。</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负责分公司及独立项目的社区文化活动费用的审核，负责对预算使用的把控和对使用过程中费用明细的审核监管。</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总部品质部定期收集各项目社区文化活动计划及预算说明，对分公司及项目的预算按品牌支持费标准开展审核工作，对不合理的费用及费用限定的公司予以修正，并要求对应公司及项目进行修订。</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各项目在社区文化活动开展实施结束后提交社区文化活动反馈表，在表内注明费用使用情况。总部品质部对费用内容开展审核考核。</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总部品质部在品质大检查过程中可对社区文化活动费用预算及执行情况开展检查，对费用使用未按要求执行或超预算无对应说明的公司或项目予以一定的扣分处罚。</w:t>
      </w:r>
    </w:p>
    <w:p>
      <w:pPr>
        <w:pStyle w:val="9"/>
        <w:numPr>
          <w:ilvl w:val="0"/>
          <w:numId w:val="1"/>
        </w:numPr>
        <w:spacing w:line="360" w:lineRule="auto"/>
        <w:ind w:left="0" w:firstLine="0" w:firstLineChars="0"/>
        <w:jc w:val="center"/>
        <w:rPr>
          <w:rFonts w:ascii="黑体" w:eastAsia="黑体" w:hAnsiTheme="minorEastAsia"/>
          <w:sz w:val="32"/>
          <w:szCs w:val="32"/>
        </w:rPr>
      </w:pPr>
      <w:r>
        <w:rPr>
          <w:rFonts w:hint="eastAsia" w:ascii="黑体" w:eastAsia="黑体" w:hAnsiTheme="minorEastAsia"/>
          <w:sz w:val="32"/>
          <w:szCs w:val="32"/>
        </w:rPr>
        <w:t>社区文化规定管理</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品质管理部是物业公司社区文化管理规定的归口管理部门。所属单位社区文化管理规定的归口管理部门是品质管理部或专兼职品质管理人员所在部门。</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物业公司品质管理部的社区文化管理规定应明确所属单位是否需要另行制定实施细则。未明确提出要求的，所属单位可以参照品质管理部制定的规章制度执行。</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社区文化管理规定在实际运行中，如发现任何疑问，所属单位品质管理部或专兼职品质管理人员都应当及时将问题反馈给品质管理部，以便解决问题和完善管理规定。</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品质管理部负责物业公司社区文化规定的拟定、修订、发布、废止、解释等工作。</w:t>
      </w:r>
    </w:p>
    <w:p>
      <w:pPr>
        <w:pStyle w:val="9"/>
        <w:numPr>
          <w:ilvl w:val="0"/>
          <w:numId w:val="1"/>
        </w:numPr>
        <w:spacing w:line="360" w:lineRule="auto"/>
        <w:ind w:left="0" w:firstLine="0" w:firstLineChars="0"/>
        <w:jc w:val="center"/>
        <w:rPr>
          <w:rFonts w:ascii="黑体" w:eastAsia="黑体" w:hAnsiTheme="minorEastAsia"/>
          <w:sz w:val="32"/>
          <w:szCs w:val="32"/>
        </w:rPr>
      </w:pPr>
      <w:r>
        <w:rPr>
          <w:rFonts w:hint="eastAsia" w:ascii="黑体" w:eastAsia="黑体" w:hAnsiTheme="minorEastAsia"/>
          <w:sz w:val="32"/>
          <w:szCs w:val="32"/>
        </w:rPr>
        <w:t>附则</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本规定由物业公司品质管理部负责解释。</w:t>
      </w:r>
    </w:p>
    <w:p>
      <w:pPr>
        <w:pStyle w:val="5"/>
        <w:widowControl/>
        <w:numPr>
          <w:ilvl w:val="0"/>
          <w:numId w:val="2"/>
        </w:numPr>
        <w:spacing w:beforeAutospacing="0" w:afterAutospacing="0"/>
        <w:ind w:firstLine="600" w:firstLineChars="200"/>
        <w:rPr>
          <w:rFonts w:asciiTheme="minorEastAsia" w:hAnsiTheme="minorEastAsia" w:cstheme="minorEastAsia"/>
          <w:color w:val="000000" w:themeColor="text1"/>
          <w:sz w:val="30"/>
          <w:szCs w:val="30"/>
        </w:rPr>
      </w:pPr>
      <w:r>
        <w:rPr>
          <w:rFonts w:hint="eastAsia" w:asciiTheme="minorEastAsia" w:hAnsiTheme="minorEastAsia" w:cstheme="minorEastAsia"/>
          <w:color w:val="000000" w:themeColor="text1"/>
          <w:sz w:val="30"/>
          <w:szCs w:val="30"/>
        </w:rPr>
        <w:t>本规定自印发之日起施行。</w:t>
      </w:r>
    </w:p>
    <w:p>
      <w:pPr>
        <w:pStyle w:val="9"/>
        <w:spacing w:line="360" w:lineRule="auto"/>
        <w:ind w:firstLine="0" w:firstLineChars="0"/>
        <w:rPr>
          <w:rFonts w:ascii="黑体" w:eastAsia="黑体" w:hAnsiTheme="minorEastAsia"/>
          <w:sz w:val="32"/>
          <w:szCs w:val="32"/>
        </w:rPr>
      </w:pPr>
    </w:p>
    <w:p>
      <w:pPr>
        <w:pStyle w:val="9"/>
        <w:spacing w:line="360" w:lineRule="auto"/>
        <w:ind w:firstLine="0" w:firstLineChars="0"/>
        <w:rPr>
          <w:rFonts w:ascii="黑体" w:eastAsia="黑体" w:hAnsiTheme="minorEastAsia"/>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小标宋">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881319"/>
    </w:sdtPr>
    <w:sdtContent>
      <w:sdt>
        <w:sdtPr>
          <w:id w:val="171357217"/>
        </w:sdtPr>
        <w:sdtContent>
          <w:p>
            <w:pPr>
              <w:pStyle w:val="3"/>
              <w:jc w:val="center"/>
            </w:pPr>
            <w:r>
              <w:rPr>
                <w:b/>
                <w:sz w:val="24"/>
                <w:szCs w:val="24"/>
              </w:rPr>
              <w:fldChar w:fldCharType="begin"/>
            </w:r>
            <w:r>
              <w:rPr>
                <w:b/>
              </w:rPr>
              <w:instrText xml:space="preserve">PAGE</w:instrText>
            </w:r>
            <w:r>
              <w:rPr>
                <w:b/>
                <w:sz w:val="24"/>
                <w:szCs w:val="24"/>
              </w:rPr>
              <w:fldChar w:fldCharType="separate"/>
            </w:r>
            <w:r>
              <w:rPr>
                <w:b/>
              </w:rPr>
              <w:t>5</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6</w:t>
            </w:r>
            <w:r>
              <w:rPr>
                <w:b/>
                <w:sz w:val="24"/>
                <w:szCs w:val="24"/>
              </w:rPr>
              <w:fldChar w:fldCharType="end"/>
            </w:r>
          </w:p>
        </w:sdtContent>
      </w:sdt>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3AD600"/>
    <w:multiLevelType w:val="singleLevel"/>
    <w:tmpl w:val="573AD600"/>
    <w:lvl w:ilvl="0" w:tentative="0">
      <w:start w:val="1"/>
      <w:numFmt w:val="chineseCountingThousand"/>
      <w:suff w:val="space"/>
      <w:lvlText w:val="第%1条"/>
      <w:lvlJc w:val="left"/>
      <w:pPr>
        <w:ind w:left="0" w:firstLine="0"/>
      </w:pPr>
      <w:rPr>
        <w:rFonts w:hint="eastAsia"/>
        <w:b/>
      </w:rPr>
    </w:lvl>
  </w:abstractNum>
  <w:abstractNum w:abstractNumId="1">
    <w:nsid w:val="734B4417"/>
    <w:multiLevelType w:val="multilevel"/>
    <w:tmpl w:val="734B4417"/>
    <w:lvl w:ilvl="0" w:tentative="0">
      <w:start w:val="1"/>
      <w:numFmt w:val="japaneseCounting"/>
      <w:lvlText w:val="第%1章"/>
      <w:lvlJc w:val="left"/>
      <w:pPr>
        <w:ind w:left="1222" w:hanging="1080"/>
      </w:pPr>
      <w:rPr>
        <w:rFonts w:hint="default"/>
        <w:b w:val="0"/>
        <w:lang w:val="en-US"/>
      </w:rPr>
    </w:lvl>
    <w:lvl w:ilvl="1" w:tentative="0">
      <w:start w:val="1"/>
      <w:numFmt w:val="decimal"/>
      <w:lvlText w:val="%2."/>
      <w:lvlJc w:val="left"/>
      <w:pPr>
        <w:ind w:left="1795" w:hanging="735"/>
      </w:pPr>
      <w:rPr>
        <w:rFonts w:hint="default"/>
      </w:r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71C65"/>
    <w:rsid w:val="00013704"/>
    <w:rsid w:val="0005174A"/>
    <w:rsid w:val="00083D8A"/>
    <w:rsid w:val="000A7BC2"/>
    <w:rsid w:val="00104536"/>
    <w:rsid w:val="001158CF"/>
    <w:rsid w:val="00193D16"/>
    <w:rsid w:val="001D0F0C"/>
    <w:rsid w:val="001D4B39"/>
    <w:rsid w:val="001F062D"/>
    <w:rsid w:val="001F34F9"/>
    <w:rsid w:val="001F6D10"/>
    <w:rsid w:val="002C71C3"/>
    <w:rsid w:val="002E28B6"/>
    <w:rsid w:val="003C5AFB"/>
    <w:rsid w:val="003F6526"/>
    <w:rsid w:val="00496F26"/>
    <w:rsid w:val="00553F76"/>
    <w:rsid w:val="00570056"/>
    <w:rsid w:val="00593687"/>
    <w:rsid w:val="00681924"/>
    <w:rsid w:val="00686C2F"/>
    <w:rsid w:val="006957D7"/>
    <w:rsid w:val="006D4389"/>
    <w:rsid w:val="006E3119"/>
    <w:rsid w:val="00817A53"/>
    <w:rsid w:val="00871C65"/>
    <w:rsid w:val="00886146"/>
    <w:rsid w:val="00894BB3"/>
    <w:rsid w:val="009440EF"/>
    <w:rsid w:val="009F288E"/>
    <w:rsid w:val="009F5326"/>
    <w:rsid w:val="00A2167A"/>
    <w:rsid w:val="00A46E3D"/>
    <w:rsid w:val="00AA339D"/>
    <w:rsid w:val="00B31BA9"/>
    <w:rsid w:val="00BF0080"/>
    <w:rsid w:val="00CA361D"/>
    <w:rsid w:val="00CA5480"/>
    <w:rsid w:val="00CA753B"/>
    <w:rsid w:val="00CF4668"/>
    <w:rsid w:val="00D03B70"/>
    <w:rsid w:val="00D12566"/>
    <w:rsid w:val="00E425C9"/>
    <w:rsid w:val="00EA11FD"/>
    <w:rsid w:val="00ED617B"/>
    <w:rsid w:val="00FB653C"/>
    <w:rsid w:val="00FE4DE6"/>
    <w:rsid w:val="135E0AAE"/>
    <w:rsid w:val="340C2A55"/>
    <w:rsid w:val="56047105"/>
    <w:rsid w:val="788B0D3A"/>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4"/>
    <w:unhideWhenUsed/>
    <w:uiPriority w:val="99"/>
    <w:rPr>
      <w:sz w:val="18"/>
      <w:szCs w:val="18"/>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Autospacing="1" w:afterAutospacing="1"/>
      <w:jc w:val="left"/>
    </w:pPr>
    <w:rPr>
      <w:rFonts w:cs="Times New Roman"/>
      <w:kern w:val="0"/>
      <w:sz w:val="24"/>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列出段落1"/>
    <w:basedOn w:val="1"/>
    <w:qFormat/>
    <w:uiPriority w:val="34"/>
    <w:pPr>
      <w:ind w:firstLine="420" w:firstLineChars="200"/>
    </w:pPr>
  </w:style>
  <w:style w:type="paragraph" w:customStyle="1" w:styleId="10">
    <w:name w:val="列出段落2"/>
    <w:basedOn w:val="1"/>
    <w:qFormat/>
    <w:uiPriority w:val="34"/>
    <w:pPr>
      <w:ind w:firstLine="420" w:firstLineChars="200"/>
    </w:pPr>
  </w:style>
  <w:style w:type="table" w:customStyle="1" w:styleId="11">
    <w:name w:val="网格型3"/>
    <w:basedOn w:val="7"/>
    <w:qFormat/>
    <w:uiPriority w:val="0"/>
    <w:pPr>
      <w:widowControl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页眉 Char"/>
    <w:basedOn w:val="6"/>
    <w:link w:val="4"/>
    <w:qFormat/>
    <w:uiPriority w:val="99"/>
    <w:rPr>
      <w:sz w:val="18"/>
      <w:szCs w:val="18"/>
    </w:rPr>
  </w:style>
  <w:style w:type="character" w:customStyle="1" w:styleId="13">
    <w:name w:val="页脚 Char"/>
    <w:basedOn w:val="6"/>
    <w:link w:val="3"/>
    <w:uiPriority w:val="99"/>
    <w:rPr>
      <w:sz w:val="18"/>
      <w:szCs w:val="18"/>
    </w:rPr>
  </w:style>
  <w:style w:type="character" w:customStyle="1" w:styleId="14">
    <w:name w:val="批注框文本 Char"/>
    <w:basedOn w:val="6"/>
    <w:link w:val="2"/>
    <w:semiHidden/>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352</Words>
  <Characters>2007</Characters>
  <Lines>16</Lines>
  <Paragraphs>4</Paragraphs>
  <ScaleCrop>false</ScaleCrop>
  <LinksUpToDate>false</LinksUpToDate>
  <CharactersWithSpaces>2355</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2016-05-20T03:32:00Z</dcterms:created>
  <dc:creator>白银娜</dc:creator>
  <cp:lastModifiedBy>Lenovo</cp:lastModifiedBy>
  <cp:lastPrinted>2016-05-20T06:58:00Z</cp:lastPrinted>
  <dcterms:modified xsi:type="dcterms:W3CDTF">2016-08-10T02:51:56Z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